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F9" w:rsidRPr="009E76F9" w:rsidRDefault="009E76F9" w:rsidP="009E76F9">
      <w:pPr>
        <w:spacing w:line="240" w:lineRule="auto"/>
        <w:jc w:val="left"/>
        <w:rPr>
          <w:rFonts w:ascii="Times New Roman" w:eastAsia="Times New Roman" w:hAnsi="Times New Roman" w:cs="Times New Roman"/>
          <w:sz w:val="24"/>
          <w:szCs w:val="24"/>
          <w:lang w:eastAsia="ru-RU"/>
        </w:rPr>
      </w:pPr>
      <w:hyperlink r:id="rId4" w:history="1">
        <w:r w:rsidRPr="009E76F9">
          <w:rPr>
            <w:rFonts w:ascii="Times New Roman" w:eastAsia="Times New Roman" w:hAnsi="Times New Roman" w:cs="Times New Roman"/>
            <w:color w:val="0000FF"/>
            <w:sz w:val="27"/>
            <w:u w:val="single"/>
            <w:lang w:eastAsia="ru-RU"/>
          </w:rPr>
          <w:t>PRINTARE</w:t>
        </w:r>
      </w:hyperlink>
    </w:p>
    <w:tbl>
      <w:tblPr>
        <w:tblW w:w="9600" w:type="dxa"/>
        <w:tblCellSpacing w:w="15" w:type="dxa"/>
        <w:tblCellMar>
          <w:top w:w="15" w:type="dxa"/>
          <w:left w:w="15" w:type="dxa"/>
          <w:bottom w:w="15" w:type="dxa"/>
          <w:right w:w="15" w:type="dxa"/>
        </w:tblCellMar>
        <w:tblLook w:val="04A0"/>
      </w:tblPr>
      <w:tblGrid>
        <w:gridCol w:w="9624"/>
      </w:tblGrid>
      <w:tr w:rsidR="009E76F9" w:rsidRPr="009E76F9" w:rsidTr="009E76F9">
        <w:trPr>
          <w:tblCellSpacing w:w="15" w:type="dxa"/>
        </w:trPr>
        <w:tc>
          <w:tcPr>
            <w:tcW w:w="0" w:type="auto"/>
            <w:vAlign w:val="center"/>
            <w:hideMark/>
          </w:tcPr>
          <w:p w:rsidR="009E76F9" w:rsidRPr="009E76F9" w:rsidRDefault="009E76F9" w:rsidP="009E76F9">
            <w:pPr>
              <w:keepNext/>
              <w:spacing w:line="240" w:lineRule="auto"/>
              <w:jc w:val="center"/>
              <w:rPr>
                <w:rFonts w:ascii="Times New Roman" w:eastAsia="Times New Roman" w:hAnsi="Times New Roman" w:cs="Times New Roman"/>
                <w:b/>
                <w:bCs/>
                <w:color w:val="000000"/>
                <w:sz w:val="24"/>
                <w:szCs w:val="24"/>
                <w:lang w:eastAsia="ru-RU"/>
              </w:rPr>
            </w:pPr>
            <w:r w:rsidRPr="009E76F9">
              <w:rPr>
                <w:rFonts w:ascii="Times New Roman" w:eastAsia="Times New Roman" w:hAnsi="Times New Roman" w:cs="Times New Roman"/>
                <w:b/>
                <w:bCs/>
                <w:color w:val="000000"/>
                <w:sz w:val="24"/>
                <w:szCs w:val="24"/>
                <w:lang w:eastAsia="ru-RU"/>
              </w:rPr>
              <w:lastRenderedPageBreak/>
              <w:t>FIŞA DE DATE A ACHIZIŢIEI (FDA)</w:t>
            </w:r>
          </w:p>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24" w:after="240" w:line="240" w:lineRule="auto"/>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9E76F9">
              <w:rPr>
                <w:rFonts w:ascii="Times New Roman" w:eastAsia="Times New Roman" w:hAnsi="Times New Roman" w:cs="Times New Roman"/>
                <w:color w:val="000000"/>
                <w:sz w:val="17"/>
                <w:lang w:eastAsia="ru-RU"/>
              </w:rPr>
              <w:t> </w:t>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1. Dispoziţii generale</w:t>
            </w:r>
          </w:p>
          <w:tbl>
            <w:tblPr>
              <w:tblW w:w="9504" w:type="dxa"/>
              <w:tblCellMar>
                <w:top w:w="15" w:type="dxa"/>
                <w:left w:w="15" w:type="dxa"/>
                <w:bottom w:w="15" w:type="dxa"/>
                <w:right w:w="15" w:type="dxa"/>
              </w:tblCellMar>
              <w:tblLook w:val="04A0"/>
            </w:tblPr>
            <w:tblGrid>
              <w:gridCol w:w="462"/>
              <w:gridCol w:w="4224"/>
              <w:gridCol w:w="4818"/>
            </w:tblGrid>
            <w:tr w:rsidR="009E76F9" w:rsidRPr="009E76F9">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Nr.</w:t>
                  </w:r>
                </w:p>
              </w:tc>
              <w:tc>
                <w:tcPr>
                  <w:tcW w:w="25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Rubrica</w:t>
                  </w:r>
                </w:p>
              </w:tc>
              <w:tc>
                <w:tcPr>
                  <w:tcW w:w="61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Datele Autorităţii Contractante/Organizatorului procedurii</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I.M.S.P. SPITALUL CLINIC MUNICIPAL DE COPII "VALENTIN IGNATENCO"</w:t>
                  </w:r>
                </w:p>
              </w:tc>
            </w:tr>
            <w:tr w:rsidR="009E76F9" w:rsidRPr="009E76F9">
              <w:trPr>
                <w:cantSplit/>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Servicii de asigurare a ordinii publice</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17/04039</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Cerere a ofertelor de preţuri</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75240000-0</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95 din 28.11.2017</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CNAM</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Nu se utilizează</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IMSP SCMC "V. Ignatenco"</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IMSP SCMC "V. Ignatenco"</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De stat</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Adresa:</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Republica Moldova, mun. Chişinău, str. Grenoble 149</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Tel: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022-72-57-66</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Fax:</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022 72 57 66</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E-mail: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vignatenco@ms.md</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Persoana de contact:</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TARLEV VERONICA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2. Listă Servicii şi specificaţii tehnice:</w:t>
            </w:r>
          </w:p>
          <w:tbl>
            <w:tblPr>
              <w:tblW w:w="9504" w:type="dxa"/>
              <w:tblCellMar>
                <w:top w:w="15" w:type="dxa"/>
                <w:left w:w="15" w:type="dxa"/>
                <w:bottom w:w="15" w:type="dxa"/>
                <w:right w:w="15" w:type="dxa"/>
              </w:tblCellMar>
              <w:tblLook w:val="04A0"/>
            </w:tblPr>
            <w:tblGrid>
              <w:gridCol w:w="350"/>
              <w:gridCol w:w="801"/>
              <w:gridCol w:w="1201"/>
              <w:gridCol w:w="674"/>
              <w:gridCol w:w="837"/>
              <w:gridCol w:w="5641"/>
            </w:tblGrid>
            <w:tr w:rsidR="009E76F9" w:rsidRPr="009E76F9">
              <w:trPr>
                <w:cantSplit/>
              </w:trPr>
              <w:tc>
                <w:tcPr>
                  <w:tcW w:w="696"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Nr. d/o</w:t>
                  </w:r>
                </w:p>
              </w:tc>
              <w:tc>
                <w:tcPr>
                  <w:tcW w:w="8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Cod CPV</w:t>
                  </w:r>
                </w:p>
              </w:tc>
              <w:tc>
                <w:tcPr>
                  <w:tcW w:w="296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Denumire Servicii solicitate</w:t>
                  </w:r>
                </w:p>
              </w:tc>
              <w:tc>
                <w:tcPr>
                  <w:tcW w:w="68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Unitatea de măsură</w:t>
                  </w:r>
                </w:p>
              </w:tc>
              <w:tc>
                <w:tcPr>
                  <w:tcW w:w="97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Cantitatea</w:t>
                  </w:r>
                </w:p>
              </w:tc>
              <w:tc>
                <w:tcPr>
                  <w:tcW w:w="286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Specificarea tehnică deplină solicitată, Standarde de referinţă</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Servicii de asigurare a ordinii publice (2 posturi)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75242000-4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Servicii de asigurare a ordinii publice (2 posturi)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Fiecare post trebuie să fie compus din 4 persoane, conform legisla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 xml:space="preserve">iei în vigoare. În total 2 posturi * 4 persoane + 1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ef de post = 9 persoane. Prin servicii de asigurare a ordinii publice se subân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 xml:space="preserve">elege: 1) patrularea teritoriului instituţiei în regim non-stop cu scopul supravegherii ordinii publice cât în secţiile de internare atât şi pe întreg teritoriul, neadmiterea spargerii geamurilor şi a intrărilor în blocurile curative, mai cu seamă în timp de noapte. 2) interzicerea accesului liber a transportului auto pe teritoriul instituţiei în regim non-stop cu ajutorul dispozitivelor mecanizate – poarta şi bara, dispozitivele vor fi preluate, exploatate şi predate în stare lucrativă (conform actului – parte componentă a prezentului contract). Gardienii urmează a fi instruiţi de către structurile abilitate ale Ministerului de Interne, având legitimaţiile respective, inclusiv certificat de cazier judiciar, certificate de la psihiatru; caracteristica, copia contractului de angajare. Gardienii tuturor posturilor urmează a fi monitorizaţi şi gestionaţi de către un şef de post.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eful de post urmează să fie prezent pe teritoriul instituţiei începând cu orele 8.00 până la 17.00 obligatoriu; verificarea gardienilor se va efectua nu mai pu</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in de 3 ori în 24 ore; Operatorul economic trebuie să dispună de grup operativ mobil, care la solicitarea gardienilor să intervină în cel mult 3 minute de la primirea apelului. De asemenea, operatorul economic trebuie să demonstreze existen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a a cel pu</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in 2 echipe operative în regiunea sectorului Botanica si/sau Centru dotate cu sistem de navigare GPS, care va contribui la operativitatea interven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 xml:space="preserve">iei echipei mobile. Personalul în funcţie de gardieni urmează a fi selectat în dependenţă de vârstă, nu mai mult de 45 ani, pregătiţi fizic, dotaţi cu uniformă, echipament de protecţie admis de legislaţie, dispozitive de comunicare mobile. De asemenea, echipa de gardieni trebuie să fie dotată cu detector de metale, lanternă, baston de cauciuc. Operatorul economic trebuie să asigure gratuit instalarea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i func</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ionarea butonului de alarmă Copia ordinului de numire a gardienilor urmează a fi prezentat la semnarea contractului; locul de muncă al gardienilor este afară, la intrarea pe teritoriul instituţiei, din care motiv uniforma urmează să corespundă condiţiilor climaterice</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3. Criterii şi cerinţe de calificare</w:t>
            </w:r>
          </w:p>
          <w:tbl>
            <w:tblPr>
              <w:tblW w:w="9504" w:type="dxa"/>
              <w:tblCellMar>
                <w:top w:w="15" w:type="dxa"/>
                <w:left w:w="15" w:type="dxa"/>
                <w:bottom w:w="15" w:type="dxa"/>
                <w:right w:w="15" w:type="dxa"/>
              </w:tblCellMar>
              <w:tblLook w:val="04A0"/>
            </w:tblPr>
            <w:tblGrid>
              <w:gridCol w:w="369"/>
              <w:gridCol w:w="3630"/>
              <w:gridCol w:w="5107"/>
              <w:gridCol w:w="398"/>
            </w:tblGrid>
            <w:tr w:rsidR="009E76F9" w:rsidRPr="009E76F9">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Nr.</w:t>
                  </w:r>
                </w:p>
              </w:tc>
              <w:tc>
                <w:tcPr>
                  <w:tcW w:w="4020"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Denumirea documentului/cerinţelor</w:t>
                  </w:r>
                </w:p>
              </w:tc>
              <w:tc>
                <w:tcPr>
                  <w:tcW w:w="41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Cerinţe suplimentare</w:t>
                  </w:r>
                </w:p>
              </w:tc>
              <w:tc>
                <w:tcPr>
                  <w:tcW w:w="5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9E76F9" w:rsidRPr="009E76F9" w:rsidRDefault="009E76F9" w:rsidP="009E76F9">
                  <w:pPr>
                    <w:spacing w:line="240" w:lineRule="auto"/>
                    <w:jc w:val="center"/>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Obl.</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 xml:space="preserve">Neimplicarea în practici frauduloase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 xml:space="preserve">Copie – confirmată prin semnătura şi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Prezentarea de dovezi privind conformitatea produselor, identificată prin referire la specifica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Demonstrarea experien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ie privind experien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a similară conform Formularului (se va indica) sau 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 xml:space="preserve">ie privind dotările specifice, utilajul şi echipamentul necesar pentru îndeplinirea corespunzătoare a contractului conform Formularului (se va indica)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i Documente care atestă faptul că operatorul economic se află în posesia utilajelor, instala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 xml:space="preserve">iilor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Neîncadrarea în situa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Informa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Formularul informativ despre ofertant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Declara</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Minim ani de experien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lastRenderedPageBreak/>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Licenţa(valabilă)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original,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Certificat privind lipsa sau existenţa restanţelor la buget eliberat de IF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original,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Lista fondatorilor (nume, prenume, cod personal)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Date despre particpant (tel, adresă, recomandări, etc)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confirmate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 xml:space="preserve">Declaraţie pe proprie răspundere privind neimplicarea în practici frauduloase </w:t>
                  </w:r>
                  <w:r w:rsidRPr="009E76F9">
                    <w:rPr>
                      <w:rFonts w:ascii="Cambria Math" w:eastAsia="Times New Roman" w:hAnsi="Cambria Math" w:cs="Cambria Math"/>
                      <w:color w:val="000000"/>
                      <w:sz w:val="17"/>
                      <w:szCs w:val="17"/>
                      <w:lang w:eastAsia="ru-RU"/>
                    </w:rPr>
                    <w:t>ș</w:t>
                  </w:r>
                  <w:r w:rsidRPr="009E76F9">
                    <w:rPr>
                      <w:rFonts w:ascii="Times New Roman" w:eastAsia="Times New Roman" w:hAnsi="Times New Roman" w:cs="Times New Roman"/>
                      <w:color w:val="000000"/>
                      <w:sz w:val="17"/>
                      <w:szCs w:val="17"/>
                      <w:lang w:eastAsia="ru-RU"/>
                    </w:rPr>
                    <w:t>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original, confirmat prin semnatura si stampila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Cazier judiciar, eliberat de MAI, pe numele fiecărui gardian(valabil)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Certificat eliberat pe numele fiecărui gardian, precum că acesta nu se află la eviden</w:t>
                  </w:r>
                  <w:r w:rsidRPr="009E76F9">
                    <w:rPr>
                      <w:rFonts w:ascii="Cambria Math" w:eastAsia="Times New Roman" w:hAnsi="Cambria Math" w:cs="Cambria Math"/>
                      <w:color w:val="000000"/>
                      <w:sz w:val="17"/>
                      <w:szCs w:val="17"/>
                      <w:lang w:eastAsia="ru-RU"/>
                    </w:rPr>
                    <w:t>ț</w:t>
                  </w:r>
                  <w:r w:rsidRPr="009E76F9">
                    <w:rPr>
                      <w:rFonts w:ascii="Times New Roman" w:eastAsia="Times New Roman" w:hAnsi="Times New Roman" w:cs="Times New Roman"/>
                      <w:color w:val="000000"/>
                      <w:sz w:val="17"/>
                      <w:szCs w:val="17"/>
                      <w:lang w:eastAsia="ru-RU"/>
                    </w:rPr>
                    <w:t>a medicului psihiatru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Caracteristica fiecărui gardian, eliberată de IGP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Copia contractului de angajare pentru fiecare gardian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Harta de amplasare a echipelor mobile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Certificat de perfectionare pentru fiecare gardian, eliberat de MAI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4. Pregătirea ofertelor</w:t>
            </w:r>
          </w:p>
          <w:tbl>
            <w:tblPr>
              <w:tblW w:w="9516" w:type="dxa"/>
              <w:tblCellMar>
                <w:top w:w="15" w:type="dxa"/>
                <w:left w:w="15" w:type="dxa"/>
                <w:bottom w:w="15" w:type="dxa"/>
                <w:right w:w="15" w:type="dxa"/>
              </w:tblCellMar>
              <w:tblLook w:val="04A0"/>
            </w:tblPr>
            <w:tblGrid>
              <w:gridCol w:w="373"/>
              <w:gridCol w:w="2166"/>
              <w:gridCol w:w="6977"/>
            </w:tblGrid>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Oferte alternative: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Nu vor fi</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Oferta va fi însoţită de o Garanţie pentru ofertă (emisă de o bancă comercială) conform formularului F3.2 din secţiunea a 3-a – Formulare pentru depunerea ofertei</w:t>
                  </w:r>
                  <w:r w:rsidRPr="009E76F9">
                    <w:rPr>
                      <w:rFonts w:ascii="Times New Roman" w:eastAsia="Times New Roman" w:hAnsi="Times New Roman" w:cs="Times New Roman"/>
                      <w:color w:val="000000"/>
                      <w:sz w:val="17"/>
                      <w:szCs w:val="17"/>
                      <w:lang w:eastAsia="ru-RU"/>
                    </w:rPr>
                    <w:br/>
                    <w:t>sau</w:t>
                  </w:r>
                  <w:r w:rsidRPr="009E76F9">
                    <w:rPr>
                      <w:rFonts w:ascii="Times New Roman" w:eastAsia="Times New Roman" w:hAnsi="Times New Roman" w:cs="Times New Roman"/>
                      <w:color w:val="000000"/>
                      <w:sz w:val="17"/>
                      <w:szCs w:val="17"/>
                      <w:lang w:eastAsia="ru-RU"/>
                    </w:rPr>
                    <w:br/>
                  </w:r>
                  <w:r w:rsidRPr="009E76F9">
                    <w:rPr>
                      <w:rFonts w:ascii="Times New Roman" w:eastAsia="Times New Roman" w:hAnsi="Times New Roman" w:cs="Times New Roman"/>
                      <w:b/>
                      <w:bCs/>
                      <w:color w:val="000000"/>
                      <w:sz w:val="17"/>
                      <w:lang w:eastAsia="ru-RU"/>
                    </w:rPr>
                    <w:t>Garanţia pentru ofertă prin transfer la contul autorităţii contractante, conform următoarelor date bancare: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Beneficiarul plăţii:</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I.M.S.P. SPITALUL CLINIC MUNICIPAL DE COPII "VALENTIN IGNATENCO"</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Denumirea Băncii:</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Ministerul Finantelor – Trezoreria de Stat</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Codul fiscal: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1003600152640</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IBAN:</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MD60TRPCBW518430D00380AA </w:t>
                  </w:r>
                  <w:r w:rsidRPr="009E76F9">
                    <w:rPr>
                      <w:rFonts w:ascii="Times New Roman" w:eastAsia="Times New Roman" w:hAnsi="Times New Roman" w:cs="Times New Roman"/>
                      <w:color w:val="000000"/>
                      <w:sz w:val="17"/>
                      <w:szCs w:val="17"/>
                      <w:lang w:eastAsia="ru-RU"/>
                    </w:rPr>
                    <w:br/>
                  </w:r>
                  <w:r w:rsidRPr="009E76F9">
                    <w:rPr>
                      <w:rFonts w:ascii="Times New Roman" w:eastAsia="Times New Roman" w:hAnsi="Times New Roman" w:cs="Times New Roman"/>
                      <w:b/>
                      <w:bCs/>
                      <w:color w:val="000000"/>
                      <w:sz w:val="17"/>
                      <w:lang w:eastAsia="ru-RU"/>
                    </w:rPr>
                    <w:t>cu nota “Pentru garanţia pentru ofertă la licitaţia publică nr. 17/04039 din 12.12.2017"</w:t>
                  </w:r>
                  <w:r w:rsidRPr="009E76F9">
                    <w:rPr>
                      <w:rFonts w:ascii="Times New Roman" w:eastAsia="Times New Roman" w:hAnsi="Times New Roman" w:cs="Times New Roman"/>
                      <w:color w:val="000000"/>
                      <w:sz w:val="17"/>
                      <w:szCs w:val="17"/>
                      <w:lang w:eastAsia="ru-RU"/>
                    </w:rPr>
                    <w:br/>
                    <w:t>sau</w:t>
                  </w:r>
                  <w:r w:rsidRPr="009E76F9">
                    <w:rPr>
                      <w:rFonts w:ascii="Times New Roman" w:eastAsia="Times New Roman" w:hAnsi="Times New Roman" w:cs="Times New Roman"/>
                      <w:color w:val="000000"/>
                      <w:sz w:val="17"/>
                      <w:szCs w:val="17"/>
                      <w:lang w:eastAsia="ru-RU"/>
                    </w:rPr>
                    <w:br/>
                    <w:t>Alte forme ale garanţiei bancare acceptate de autoritatea contractantă:</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4.3</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Garanţia pentru ofertă va fi în valoare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1.00% </w:t>
                  </w:r>
                  <w:r w:rsidRPr="009E76F9">
                    <w:rPr>
                      <w:rFonts w:ascii="Times New Roman" w:eastAsia="Times New Roman" w:hAnsi="Times New Roman" w:cs="Times New Roman"/>
                      <w:color w:val="000000"/>
                      <w:sz w:val="17"/>
                      <w:szCs w:val="17"/>
                      <w:lang w:eastAsia="ru-RU"/>
                    </w:rPr>
                    <w:t>din valoarea ofertei fără TVA.</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4.4</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Ediţia aplicabilă a Incoterms şi termenii comerciali acceptaţi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DDP - Franco destina</w:t>
                  </w:r>
                  <w:r w:rsidRPr="009E76F9">
                    <w:rPr>
                      <w:rFonts w:ascii="Cambria Math" w:eastAsia="Times New Roman" w:hAnsi="Cambria Math" w:cs="Cambria Math"/>
                      <w:b/>
                      <w:bCs/>
                      <w:color w:val="000000"/>
                      <w:sz w:val="17"/>
                      <w:lang w:eastAsia="ru-RU"/>
                    </w:rPr>
                    <w:t>ț</w:t>
                  </w:r>
                  <w:r w:rsidRPr="009E76F9">
                    <w:rPr>
                      <w:rFonts w:ascii="Times New Roman" w:eastAsia="Times New Roman" w:hAnsi="Times New Roman" w:cs="Times New Roman"/>
                      <w:b/>
                      <w:bCs/>
                      <w:color w:val="000000"/>
                      <w:sz w:val="17"/>
                      <w:lang w:eastAsia="ru-RU"/>
                    </w:rPr>
                    <w:t>ie vămuit, Incoterms 2013</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4.5</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Termenul de livrare/prestare/executare: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Pe parcursul anului 2018 în regim Non-Stop</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4.7</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Metoda şi condiţiile de plată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Termen de 30 de zile în baza faturii fiscale</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4.8</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Perioada valabilităţii ofertei va fi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30 zile</w:t>
                  </w:r>
                </w:p>
              </w:tc>
            </w:tr>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4.9</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Ofertele în valută străină: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Nu se acceptă</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5. Depunerea şi deschiderea ofertelor</w:t>
            </w:r>
          </w:p>
          <w:tbl>
            <w:tblPr>
              <w:tblW w:w="9516" w:type="dxa"/>
              <w:tblCellMar>
                <w:top w:w="15" w:type="dxa"/>
                <w:left w:w="15" w:type="dxa"/>
                <w:bottom w:w="15" w:type="dxa"/>
                <w:right w:w="15" w:type="dxa"/>
              </w:tblCellMar>
              <w:tblLook w:val="04A0"/>
            </w:tblPr>
            <w:tblGrid>
              <w:gridCol w:w="418"/>
              <w:gridCol w:w="4535"/>
              <w:gridCol w:w="4563"/>
            </w:tblGrid>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5.1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Plicurile vor conţine următoarea informaţie suplimentară: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Cerere a ofertelor de preţuri nr. 17/04039 </w:t>
                  </w:r>
                  <w:r w:rsidRPr="009E76F9">
                    <w:rPr>
                      <w:rFonts w:ascii="Times New Roman" w:eastAsia="Times New Roman" w:hAnsi="Times New Roman" w:cs="Times New Roman"/>
                      <w:color w:val="000000"/>
                      <w:sz w:val="17"/>
                      <w:szCs w:val="17"/>
                      <w:lang w:eastAsia="ru-RU"/>
                    </w:rPr>
                    <w:br/>
                    <w:t>Pentru achiziţionarea de: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Servicii de asigurare a ordinii publice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Autoritatea contractantă:</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I.M.S.P. SPITALUL CLINIC MUNICIPAL DE COPII "VALENTIN IGNATENCO"</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Adresa autorităţii contractante: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Republica Moldova, mun. Chişinău, str. Grenoble 149</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A nu se deschide înainte de: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12.12.2017 10:00</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lastRenderedPageBreak/>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Adresa:</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Republica Moldova, mun. Chişinău, str. Grenoble 149</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Tel: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022-72-57-66</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Fax:</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022 72 57 66</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E-mail: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vignatenco@ms.md</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Data-limită pentru depunerea ofertelor este: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Data, Ora:</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12.12.2017 10:00</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Adresa:</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Republica Moldova, mun. Chişinău, str. Grenoble 149</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Tel: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022-72-57-66</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Data, Ora:</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12.12.2017 10:00</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6. Evaluarea şi compararea ofertelor</w:t>
            </w:r>
          </w:p>
          <w:tbl>
            <w:tblPr>
              <w:tblW w:w="9516" w:type="dxa"/>
              <w:tblCellMar>
                <w:top w:w="15" w:type="dxa"/>
                <w:left w:w="15" w:type="dxa"/>
                <w:bottom w:w="15" w:type="dxa"/>
                <w:right w:w="15" w:type="dxa"/>
              </w:tblCellMar>
              <w:tblLook w:val="04A0"/>
            </w:tblPr>
            <w:tblGrid>
              <w:gridCol w:w="510"/>
              <w:gridCol w:w="2924"/>
              <w:gridCol w:w="6082"/>
            </w:tblGrid>
            <w:tr w:rsidR="009E76F9" w:rsidRPr="009E76F9">
              <w:trPr>
                <w:cantSplit/>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6.1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Preţurile ofertelor depuse în diferite valute vor fi convertite în:</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Leu MD</w:t>
                  </w:r>
                </w:p>
              </w:tc>
            </w:tr>
            <w:tr w:rsidR="009E76F9" w:rsidRPr="009E76F9">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BNM</w:t>
                  </w:r>
                </w:p>
              </w:tc>
            </w:tr>
            <w:tr w:rsidR="009E76F9" w:rsidRPr="009E76F9">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12.12.2017</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cel mai mic preţ fără TVA şi corespunderea întocmai a cerinţelor înaintate</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Nu sunt</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r w:rsidRPr="009E76F9">
              <w:rPr>
                <w:rFonts w:ascii="Times New Roman" w:eastAsia="Times New Roman" w:hAnsi="Times New Roman" w:cs="Times New Roman"/>
                <w:color w:val="000000"/>
                <w:sz w:val="27"/>
                <w:szCs w:val="27"/>
                <w:lang w:eastAsia="ru-RU"/>
              </w:rPr>
              <w:br/>
            </w:r>
          </w:p>
          <w:p w:rsidR="009E76F9" w:rsidRPr="009E76F9" w:rsidRDefault="009E76F9" w:rsidP="009E76F9">
            <w:pPr>
              <w:keepNext/>
              <w:spacing w:before="48" w:after="48" w:line="240" w:lineRule="auto"/>
              <w:jc w:val="center"/>
              <w:rPr>
                <w:rFonts w:ascii="Times New Roman" w:eastAsia="Times New Roman" w:hAnsi="Times New Roman" w:cs="Times New Roman"/>
                <w:b/>
                <w:bCs/>
                <w:color w:val="000000"/>
                <w:sz w:val="19"/>
                <w:szCs w:val="19"/>
                <w:lang w:eastAsia="ru-RU"/>
              </w:rPr>
            </w:pPr>
            <w:r w:rsidRPr="009E76F9">
              <w:rPr>
                <w:rFonts w:ascii="Times New Roman" w:eastAsia="Times New Roman" w:hAnsi="Times New Roman" w:cs="Times New Roman"/>
                <w:b/>
                <w:bCs/>
                <w:color w:val="000000"/>
                <w:sz w:val="19"/>
                <w:szCs w:val="19"/>
                <w:lang w:eastAsia="ru-RU"/>
              </w:rPr>
              <w:t>7. Adjudecarea contractului</w:t>
            </w:r>
          </w:p>
          <w:tbl>
            <w:tblPr>
              <w:tblW w:w="9516" w:type="dxa"/>
              <w:tblCellMar>
                <w:top w:w="15" w:type="dxa"/>
                <w:left w:w="15" w:type="dxa"/>
                <w:bottom w:w="15" w:type="dxa"/>
                <w:right w:w="15" w:type="dxa"/>
              </w:tblCellMar>
              <w:tblLook w:val="04A0"/>
            </w:tblPr>
            <w:tblGrid>
              <w:gridCol w:w="353"/>
              <w:gridCol w:w="3028"/>
              <w:gridCol w:w="6135"/>
            </w:tblGrid>
            <w:tr w:rsidR="009E76F9" w:rsidRPr="009E76F9">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7.1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Criteriul de evaluare aplicat pentru adjudecarea contractului va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Cel mai mic preţ</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5.00%</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Contractul va fi însoţit de o Garanţie de bună execuţie (emisă de o bancă comercială) conform formularului F 5.2 din secţiunea a 5-a – Formulare de contract</w:t>
                  </w:r>
                  <w:r w:rsidRPr="009E76F9">
                    <w:rPr>
                      <w:rFonts w:ascii="Times New Roman" w:eastAsia="Times New Roman" w:hAnsi="Times New Roman" w:cs="Times New Roman"/>
                      <w:color w:val="000000"/>
                      <w:sz w:val="17"/>
                      <w:szCs w:val="17"/>
                      <w:lang w:eastAsia="ru-RU"/>
                    </w:rPr>
                    <w:br/>
                    <w:t>sau</w:t>
                  </w:r>
                  <w:r w:rsidRPr="009E76F9">
                    <w:rPr>
                      <w:rFonts w:ascii="Times New Roman" w:eastAsia="Times New Roman" w:hAnsi="Times New Roman" w:cs="Times New Roman"/>
                      <w:color w:val="000000"/>
                      <w:sz w:val="17"/>
                      <w:szCs w:val="17"/>
                      <w:lang w:eastAsia="ru-RU"/>
                    </w:rPr>
                    <w:br/>
                  </w:r>
                  <w:r w:rsidRPr="009E76F9">
                    <w:rPr>
                      <w:rFonts w:ascii="Times New Roman" w:eastAsia="Times New Roman" w:hAnsi="Times New Roman" w:cs="Times New Roman"/>
                      <w:b/>
                      <w:bCs/>
                      <w:color w:val="000000"/>
                      <w:sz w:val="17"/>
                      <w:lang w:eastAsia="ru-RU"/>
                    </w:rPr>
                    <w:t>Garanţia de bună execuţie prin transfer la contul autorităţii contractante, conform următoarelor date bancare:</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Beneficiarul plăţii:</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I.M.S.P. SPITALUL CLINIC MUNICIPAL DE COPII "VALENTIN IGNATENCO"</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Denumirea Băncii:</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Ministerul Finantelor – Trezoreria de Stat</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Codul fiscal:</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1003600152640</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color w:val="000000"/>
                      <w:sz w:val="17"/>
                      <w:szCs w:val="17"/>
                      <w:lang w:eastAsia="ru-RU"/>
                    </w:rPr>
                    <w:br/>
                    <w:t>IBAN:</w:t>
                  </w:r>
                  <w:r w:rsidRPr="009E76F9">
                    <w:rPr>
                      <w:rFonts w:ascii="Times New Roman" w:eastAsia="Times New Roman" w:hAnsi="Times New Roman" w:cs="Times New Roman"/>
                      <w:color w:val="000000"/>
                      <w:sz w:val="17"/>
                      <w:lang w:eastAsia="ru-RU"/>
                    </w:rPr>
                    <w:t> </w:t>
                  </w:r>
                  <w:r w:rsidRPr="009E76F9">
                    <w:rPr>
                      <w:rFonts w:ascii="Times New Roman" w:eastAsia="Times New Roman" w:hAnsi="Times New Roman" w:cs="Times New Roman"/>
                      <w:b/>
                      <w:bCs/>
                      <w:color w:val="000000"/>
                      <w:sz w:val="17"/>
                      <w:lang w:eastAsia="ru-RU"/>
                    </w:rPr>
                    <w:t>MD60TRPCBW518430D00380AA </w:t>
                  </w:r>
                  <w:r w:rsidRPr="009E76F9">
                    <w:rPr>
                      <w:rFonts w:ascii="Times New Roman" w:eastAsia="Times New Roman" w:hAnsi="Times New Roman" w:cs="Times New Roman"/>
                      <w:color w:val="000000"/>
                      <w:sz w:val="17"/>
                      <w:szCs w:val="17"/>
                      <w:lang w:eastAsia="ru-RU"/>
                    </w:rPr>
                    <w:br/>
                  </w:r>
                  <w:r w:rsidRPr="009E76F9">
                    <w:rPr>
                      <w:rFonts w:ascii="Times New Roman" w:eastAsia="Times New Roman" w:hAnsi="Times New Roman" w:cs="Times New Roman"/>
                      <w:b/>
                      <w:bCs/>
                      <w:color w:val="000000"/>
                      <w:sz w:val="17"/>
                      <w:lang w:eastAsia="ru-RU"/>
                    </w:rPr>
                    <w:t>cu nota “Pentru garanţia de buna execuţie a contractului nr. 17/04039 din 12.12.2017"</w:t>
                  </w:r>
                  <w:r w:rsidRPr="009E76F9">
                    <w:rPr>
                      <w:rFonts w:ascii="Times New Roman" w:eastAsia="Times New Roman" w:hAnsi="Times New Roman" w:cs="Times New Roman"/>
                      <w:color w:val="000000"/>
                      <w:sz w:val="17"/>
                      <w:szCs w:val="17"/>
                      <w:lang w:eastAsia="ru-RU"/>
                    </w:rPr>
                    <w:br/>
                    <w:t>sau</w:t>
                  </w:r>
                  <w:r w:rsidRPr="009E76F9">
                    <w:rPr>
                      <w:rFonts w:ascii="Times New Roman" w:eastAsia="Times New Roman" w:hAnsi="Times New Roman" w:cs="Times New Roman"/>
                      <w:color w:val="000000"/>
                      <w:sz w:val="17"/>
                      <w:szCs w:val="17"/>
                      <w:lang w:eastAsia="ru-RU"/>
                    </w:rPr>
                    <w:br/>
                    <w:t>Alte forme ale garanţiei bancare acceptate de autoritatea contractantă:</w:t>
                  </w:r>
                </w:p>
              </w:tc>
            </w:tr>
            <w:tr w:rsidR="009E76F9" w:rsidRPr="009E76F9">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center"/>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color w:val="000000"/>
                      <w:sz w:val="17"/>
                      <w:szCs w:val="17"/>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9E76F9" w:rsidRPr="009E76F9" w:rsidRDefault="009E76F9" w:rsidP="009E76F9">
                  <w:pPr>
                    <w:spacing w:line="240" w:lineRule="auto"/>
                    <w:jc w:val="left"/>
                    <w:rPr>
                      <w:rFonts w:ascii="Times New Roman" w:eastAsia="Times New Roman" w:hAnsi="Times New Roman" w:cs="Times New Roman"/>
                      <w:color w:val="000000"/>
                      <w:sz w:val="17"/>
                      <w:szCs w:val="17"/>
                      <w:lang w:eastAsia="ru-RU"/>
                    </w:rPr>
                  </w:pPr>
                  <w:r w:rsidRPr="009E76F9">
                    <w:rPr>
                      <w:rFonts w:ascii="Times New Roman" w:eastAsia="Times New Roman" w:hAnsi="Times New Roman" w:cs="Times New Roman"/>
                      <w:b/>
                      <w:bCs/>
                      <w:color w:val="000000"/>
                      <w:sz w:val="17"/>
                      <w:lang w:eastAsia="ru-RU"/>
                    </w:rPr>
                    <w:t>10 zile</w:t>
                  </w:r>
                </w:p>
              </w:tc>
            </w:tr>
          </w:tbl>
          <w:p w:rsidR="009E76F9" w:rsidRPr="009E76F9" w:rsidRDefault="009E76F9" w:rsidP="009E76F9">
            <w:pPr>
              <w:spacing w:line="240" w:lineRule="auto"/>
              <w:jc w:val="left"/>
              <w:rPr>
                <w:rFonts w:ascii="Times New Roman" w:eastAsia="Times New Roman" w:hAnsi="Times New Roman" w:cs="Times New Roman"/>
                <w:color w:val="000000"/>
                <w:sz w:val="27"/>
                <w:szCs w:val="27"/>
                <w:lang w:eastAsia="ru-RU"/>
              </w:rPr>
            </w:pPr>
          </w:p>
          <w:p w:rsidR="009E76F9" w:rsidRPr="009E76F9" w:rsidRDefault="009E76F9" w:rsidP="009E76F9">
            <w:pPr>
              <w:keepNext/>
              <w:spacing w:before="120" w:after="24" w:line="240" w:lineRule="auto"/>
              <w:jc w:val="left"/>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9E76F9" w:rsidRPr="009E76F9" w:rsidRDefault="009E76F9" w:rsidP="009E76F9">
            <w:pPr>
              <w:spacing w:after="270" w:line="240" w:lineRule="auto"/>
              <w:jc w:val="left"/>
              <w:rPr>
                <w:rFonts w:ascii="Times New Roman" w:eastAsia="Times New Roman" w:hAnsi="Times New Roman" w:cs="Times New Roman"/>
                <w:color w:val="000000"/>
                <w:sz w:val="27"/>
                <w:szCs w:val="27"/>
                <w:lang w:eastAsia="ru-RU"/>
              </w:rPr>
            </w:pPr>
          </w:p>
          <w:p w:rsidR="009E76F9" w:rsidRPr="009E76F9" w:rsidRDefault="009E76F9" w:rsidP="009E76F9">
            <w:pPr>
              <w:keepNext/>
              <w:spacing w:before="120" w:after="24" w:line="240" w:lineRule="auto"/>
              <w:jc w:val="left"/>
              <w:rPr>
                <w:rFonts w:ascii="Times New Roman" w:eastAsia="Times New Roman" w:hAnsi="Times New Roman" w:cs="Times New Roman"/>
                <w:b/>
                <w:bCs/>
                <w:color w:val="000000"/>
                <w:sz w:val="17"/>
                <w:szCs w:val="17"/>
                <w:lang w:eastAsia="ru-RU"/>
              </w:rPr>
            </w:pPr>
            <w:r w:rsidRPr="009E76F9">
              <w:rPr>
                <w:rFonts w:ascii="Times New Roman" w:eastAsia="Times New Roman" w:hAnsi="Times New Roman" w:cs="Times New Roman"/>
                <w:b/>
                <w:bCs/>
                <w:color w:val="000000"/>
                <w:sz w:val="17"/>
                <w:szCs w:val="17"/>
                <w:lang w:eastAsia="ru-RU"/>
              </w:rPr>
              <w:t>Conducătorul grupului de lucru:</w:t>
            </w:r>
            <w:r w:rsidRPr="009E76F9">
              <w:rPr>
                <w:rFonts w:ascii="Times New Roman" w:eastAsia="Times New Roman" w:hAnsi="Times New Roman" w:cs="Times New Roman"/>
                <w:b/>
                <w:bCs/>
                <w:color w:val="000000"/>
                <w:sz w:val="17"/>
                <w:lang w:eastAsia="ru-RU"/>
              </w:rPr>
              <w:t> </w:t>
            </w:r>
            <w:r w:rsidRPr="009E76F9">
              <w:rPr>
                <w:rFonts w:ascii="Times New Roman" w:eastAsia="Times New Roman" w:hAnsi="Times New Roman" w:cs="Times New Roman"/>
                <w:b/>
                <w:bCs/>
                <w:color w:val="000000"/>
                <w:sz w:val="17"/>
                <w:szCs w:val="17"/>
                <w:lang w:eastAsia="ru-RU"/>
              </w:rPr>
              <w:br/>
            </w:r>
            <w:r w:rsidRPr="009E76F9">
              <w:rPr>
                <w:rFonts w:ascii="Times New Roman" w:eastAsia="Times New Roman" w:hAnsi="Times New Roman" w:cs="Times New Roman"/>
                <w:b/>
                <w:bCs/>
                <w:color w:val="000000"/>
                <w:sz w:val="17"/>
                <w:szCs w:val="17"/>
                <w:lang w:eastAsia="ru-RU"/>
              </w:rPr>
              <w:br/>
              <w:t>HOLOSTENCO ALEXANDRU ________________________________</w:t>
            </w:r>
          </w:p>
        </w:tc>
      </w:tr>
    </w:tbl>
    <w:p w:rsidR="00A85139" w:rsidRDefault="00A85139"/>
    <w:sectPr w:rsidR="00A85139" w:rsidSect="00A8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6F9"/>
    <w:rsid w:val="003D320C"/>
    <w:rsid w:val="0091466C"/>
    <w:rsid w:val="009E76F9"/>
    <w:rsid w:val="00A85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76F9"/>
    <w:rPr>
      <w:color w:val="0000FF"/>
      <w:u w:val="single"/>
    </w:rPr>
  </w:style>
  <w:style w:type="paragraph" w:styleId="a4">
    <w:name w:val="Normal (Web)"/>
    <w:basedOn w:val="a"/>
    <w:uiPriority w:val="99"/>
    <w:unhideWhenUsed/>
    <w:rsid w:val="009E76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
    <w:name w:val="text"/>
    <w:basedOn w:val="a"/>
    <w:rsid w:val="009E76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76F9"/>
  </w:style>
  <w:style w:type="paragraph" w:customStyle="1" w:styleId="tabletitle">
    <w:name w:val="tabletitle"/>
    <w:basedOn w:val="a"/>
    <w:rsid w:val="009E76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9E76F9"/>
    <w:rPr>
      <w:b/>
      <w:bCs/>
    </w:rPr>
  </w:style>
</w:styles>
</file>

<file path=word/webSettings.xml><?xml version="1.0" encoding="utf-8"?>
<w:webSettings xmlns:r="http://schemas.openxmlformats.org/officeDocument/2006/relationships" xmlns:w="http://schemas.openxmlformats.org/wordprocessingml/2006/main">
  <w:divs>
    <w:div w:id="6161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10962</Characters>
  <Application>Microsoft Office Word</Application>
  <DocSecurity>0</DocSecurity>
  <Lines>91</Lines>
  <Paragraphs>25</Paragraphs>
  <ScaleCrop>false</ScaleCrop>
  <Company>CtrlSoft</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1</cp:revision>
  <dcterms:created xsi:type="dcterms:W3CDTF">2017-11-28T13:32:00Z</dcterms:created>
  <dcterms:modified xsi:type="dcterms:W3CDTF">2017-11-28T13:33:00Z</dcterms:modified>
</cp:coreProperties>
</file>